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9681" w14:textId="77777777" w:rsidR="003F3545" w:rsidRPr="00944A3F" w:rsidRDefault="003F3545" w:rsidP="009A5FBC">
      <w:pPr>
        <w:spacing w:before="0" w:line="240" w:lineRule="auto"/>
        <w:jc w:val="right"/>
        <w:rPr>
          <w:rFonts w:ascii="Assistant" w:hAnsi="Assistant" w:cs="Assistant"/>
          <w:highlight w:val="yellow"/>
          <w:rtl/>
        </w:rPr>
      </w:pPr>
    </w:p>
    <w:p w14:paraId="5EE058D1" w14:textId="77777777" w:rsidR="0085537D" w:rsidRPr="00944A3F" w:rsidRDefault="0085537D" w:rsidP="0085537D">
      <w:pPr>
        <w:jc w:val="left"/>
        <w:rPr>
          <w:rFonts w:ascii="Assistant" w:hAnsi="Assistant" w:cs="Assistant"/>
          <w:b/>
          <w:bCs/>
          <w:rtl/>
        </w:rPr>
      </w:pPr>
      <w:r w:rsidRPr="00944A3F">
        <w:rPr>
          <w:rFonts w:ascii="Assistant" w:hAnsi="Assistant" w:cs="Assistant" w:hint="cs"/>
          <w:b/>
          <w:bCs/>
          <w:rtl/>
        </w:rPr>
        <w:t>עמית/ה נכבד/ה שלום רב,</w:t>
      </w:r>
    </w:p>
    <w:p w14:paraId="5FBC4029" w14:textId="77777777" w:rsidR="0085537D" w:rsidRPr="00944A3F" w:rsidRDefault="0085537D" w:rsidP="0085537D">
      <w:pPr>
        <w:spacing w:after="240"/>
        <w:jc w:val="center"/>
        <w:rPr>
          <w:rFonts w:ascii="Assistant" w:hAnsi="Assistant" w:cs="Assistant"/>
          <w:b/>
          <w:bCs/>
          <w:u w:val="single"/>
          <w:rtl/>
          <w:lang w:eastAsia="he-IL"/>
        </w:rPr>
      </w:pPr>
      <w:r w:rsidRPr="00944A3F">
        <w:rPr>
          <w:rFonts w:ascii="Assistant" w:hAnsi="Assistant" w:cs="Assistant" w:hint="cs"/>
          <w:b/>
          <w:bCs/>
          <w:rtl/>
        </w:rPr>
        <w:t xml:space="preserve">הנדון: </w:t>
      </w:r>
      <w:r w:rsidRPr="00944A3F">
        <w:rPr>
          <w:rFonts w:ascii="Assistant" w:hAnsi="Assistant" w:cs="Assistant" w:hint="cs"/>
          <w:b/>
          <w:bCs/>
          <w:u w:val="single"/>
          <w:rtl/>
        </w:rPr>
        <w:t xml:space="preserve">הודעה על השלמת הליך העברת ניהול מרצון של קופות הגמל בניהול אישי </w:t>
      </w:r>
      <w:r w:rsidRPr="00944A3F">
        <w:rPr>
          <w:rFonts w:ascii="Assistant" w:hAnsi="Assistant" w:cs="Assistant" w:hint="cs"/>
          <w:b/>
          <w:bCs/>
          <w:u w:val="single"/>
          <w:rtl/>
          <w:lang w:eastAsia="he-IL"/>
        </w:rPr>
        <w:t xml:space="preserve">מניהול הפניקס פנסיה וגמל בע"מ לניהול </w:t>
      </w:r>
      <w:r w:rsidRPr="00944A3F">
        <w:rPr>
          <w:rFonts w:ascii="Assistant" w:hAnsi="Assistant" w:cs="Assistant" w:hint="cs"/>
          <w:b/>
          <w:bCs/>
          <w:u w:val="single"/>
          <w:rtl/>
        </w:rPr>
        <w:t>גלובל נט ניהול קופות גמל (ג. נ. נ. ק. ג.) בע"מ</w:t>
      </w:r>
    </w:p>
    <w:p w14:paraId="53F656DC" w14:textId="77777777" w:rsidR="0085537D" w:rsidRPr="00944A3F" w:rsidRDefault="0085537D" w:rsidP="00A644C6">
      <w:pPr>
        <w:spacing w:line="240" w:lineRule="auto"/>
        <w:rPr>
          <w:rFonts w:ascii="Assistant" w:eastAsia="Calibri" w:hAnsi="Assistant" w:cs="Assistant"/>
          <w:rtl/>
        </w:rPr>
      </w:pPr>
      <w:bookmarkStart w:id="0" w:name="OLE_LINK13"/>
      <w:bookmarkStart w:id="1" w:name="OLE_LINK14"/>
      <w:bookmarkStart w:id="2" w:name="OLE_LINK8"/>
      <w:bookmarkStart w:id="3" w:name="OLE_LINK25"/>
      <w:bookmarkStart w:id="4" w:name="OLE_LINK29"/>
      <w:bookmarkStart w:id="5" w:name="OLE_LINK33"/>
      <w:bookmarkStart w:id="6" w:name="OLE_LINK39"/>
      <w:bookmarkStart w:id="7" w:name="OLE_LINK42"/>
      <w:bookmarkStart w:id="8" w:name="OLE_LINK44"/>
      <w:bookmarkStart w:id="9" w:name="OLE_LINK45"/>
      <w:bookmarkStart w:id="10" w:name="OLE_LINK51"/>
      <w:bookmarkStart w:id="11" w:name="OLE_LINK52"/>
      <w:bookmarkStart w:id="12" w:name="OLE_LINK56"/>
      <w:bookmarkStart w:id="13" w:name="OLE_LINK200"/>
      <w:bookmarkStart w:id="14" w:name="_Hlk89934961"/>
      <w:r w:rsidRPr="00944A3F">
        <w:rPr>
          <w:rFonts w:ascii="Assistant" w:hAnsi="Assistant" w:cs="Assistant" w:hint="cs"/>
          <w:rtl/>
          <w:lang w:eastAsia="he-IL"/>
        </w:rPr>
        <w:t>ג</w:t>
      </w:r>
      <w:r w:rsidRPr="00944A3F">
        <w:rPr>
          <w:rFonts w:ascii="Assistant" w:hAnsi="Assistant" w:cs="Assistant" w:hint="cs"/>
          <w:rtl/>
        </w:rPr>
        <w:t>לובל נט ניהול קופות גמל (ג. נ. נ. ק. ג.) בע"מ, (ח.פ.</w:t>
      </w:r>
      <w:r w:rsidRPr="00944A3F">
        <w:rPr>
          <w:rFonts w:ascii="Assistant" w:hAnsi="Assistant" w:cs="Assistant" w:hint="cs"/>
          <w:b/>
          <w:bCs/>
          <w:rtl/>
        </w:rPr>
        <w:t xml:space="preserve"> </w:t>
      </w:r>
      <w:r w:rsidRPr="00944A3F">
        <w:rPr>
          <w:rFonts w:ascii="Assistant" w:hAnsi="Assistant" w:cs="Assistant" w:hint="cs"/>
          <w:rtl/>
        </w:rPr>
        <w:t>516463635) (להלן:</w:t>
      </w:r>
      <w:r w:rsidRPr="00944A3F">
        <w:rPr>
          <w:rFonts w:ascii="Assistant" w:hAnsi="Assistant" w:cs="Assistant" w:hint="cs"/>
          <w:b/>
          <w:bCs/>
          <w:rtl/>
        </w:rPr>
        <w:t xml:space="preserve"> </w:t>
      </w:r>
      <w:r w:rsidRPr="00944A3F">
        <w:rPr>
          <w:rFonts w:ascii="Assistant" w:hAnsi="Assistant" w:cs="Assistant" w:hint="cs"/>
          <w:rtl/>
        </w:rPr>
        <w:t>"</w:t>
      </w:r>
      <w:r w:rsidRPr="00944A3F">
        <w:rPr>
          <w:rFonts w:ascii="Assistant" w:hAnsi="Assistant" w:cs="Assistant" w:hint="cs"/>
          <w:b/>
          <w:bCs/>
          <w:rtl/>
        </w:rPr>
        <w:t>גלובל נט</w:t>
      </w:r>
      <w:r w:rsidRPr="00944A3F">
        <w:rPr>
          <w:rFonts w:ascii="Assistant" w:hAnsi="Assistant" w:cs="Assistant" w:hint="cs"/>
          <w:rtl/>
        </w:rPr>
        <w:t xml:space="preserve">"), מתכבדת בזאת להודיעך, כי ביום </w:t>
      </w:r>
      <w:r w:rsidR="0017486C">
        <w:rPr>
          <w:rFonts w:ascii="Assistant" w:hAnsi="Assistant" w:cs="Assistant" w:hint="cs"/>
          <w:rtl/>
        </w:rPr>
        <w:t>01/05/2022</w:t>
      </w:r>
      <w:r w:rsidRPr="00944A3F">
        <w:rPr>
          <w:rFonts w:ascii="Assistant" w:hAnsi="Assistant" w:cs="Assistant" w:hint="cs"/>
          <w:rtl/>
        </w:rPr>
        <w:t xml:space="preserve"> </w:t>
      </w:r>
      <w:r w:rsidRPr="00944A3F">
        <w:rPr>
          <w:rFonts w:ascii="Assistant" w:eastAsia="Calibri" w:hAnsi="Assistant" w:cs="Assistant" w:hint="cs"/>
          <w:rtl/>
        </w:rPr>
        <w:t xml:space="preserve">הושלם הליך העברת ניהול קופות הגמל בניהול אישי המפורטות להלן, </w:t>
      </w:r>
      <w:r w:rsidRPr="00944A3F">
        <w:rPr>
          <w:rFonts w:ascii="Assistant" w:hAnsi="Assistant" w:cs="Assistant" w:hint="cs"/>
          <w:rtl/>
          <w:lang w:eastAsia="he-IL"/>
        </w:rPr>
        <w:t>מניהולה של חברת הפניקס פנסיה וגמל בע"מ (להלן: "</w:t>
      </w:r>
      <w:r w:rsidRPr="00944A3F">
        <w:rPr>
          <w:rFonts w:ascii="Assistant" w:hAnsi="Assistant" w:cs="Assistant" w:hint="cs"/>
          <w:b/>
          <w:bCs/>
          <w:rtl/>
          <w:lang w:eastAsia="he-IL"/>
        </w:rPr>
        <w:t>הפניקס</w:t>
      </w:r>
      <w:r w:rsidRPr="00944A3F">
        <w:rPr>
          <w:rFonts w:ascii="Assistant" w:hAnsi="Assistant" w:cs="Assistant" w:hint="cs"/>
          <w:rtl/>
          <w:lang w:eastAsia="he-IL"/>
        </w:rPr>
        <w:t>")</w:t>
      </w:r>
      <w:r w:rsidRPr="00944A3F">
        <w:rPr>
          <w:rFonts w:ascii="Assistant" w:hAnsi="Assistant" w:cs="Assistant" w:hint="cs"/>
          <w:rtl/>
        </w:rPr>
        <w:t xml:space="preserve"> לניהולה של </w:t>
      </w:r>
      <w:r w:rsidRPr="00944A3F">
        <w:rPr>
          <w:rFonts w:ascii="Assistant" w:eastAsia="Calibri" w:hAnsi="Assistant" w:cs="Assistant" w:hint="cs"/>
          <w:rtl/>
        </w:rPr>
        <w:t xml:space="preserve">גלובל נט (להלן ייקראו בהתאמה: </w:t>
      </w:r>
      <w:r w:rsidRPr="00944A3F">
        <w:rPr>
          <w:rFonts w:ascii="Assistant" w:eastAsia="Calibri" w:hAnsi="Assistant" w:cs="Assistant" w:hint="cs"/>
          <w:b/>
          <w:bCs/>
          <w:rtl/>
        </w:rPr>
        <w:t>"מועד ההשלמה"</w:t>
      </w:r>
      <w:r w:rsidRPr="00944A3F">
        <w:rPr>
          <w:rFonts w:ascii="Assistant" w:eastAsia="Calibri" w:hAnsi="Assistant" w:cs="Assistant" w:hint="cs"/>
          <w:rtl/>
        </w:rPr>
        <w:t>, "</w:t>
      </w:r>
      <w:r w:rsidRPr="00944A3F">
        <w:rPr>
          <w:rFonts w:ascii="Assistant" w:eastAsia="Calibri" w:hAnsi="Assistant" w:cs="Assistant" w:hint="cs"/>
          <w:b/>
          <w:bCs/>
          <w:rtl/>
        </w:rPr>
        <w:t>הליך העברת הניהול</w:t>
      </w:r>
      <w:r w:rsidRPr="00944A3F">
        <w:rPr>
          <w:rFonts w:ascii="Assistant" w:eastAsia="Calibri" w:hAnsi="Assistant" w:cs="Assistant" w:hint="cs"/>
          <w:rtl/>
        </w:rPr>
        <w:t xml:space="preserve">").  </w:t>
      </w:r>
    </w:p>
    <w:p w14:paraId="2C6F1A54" w14:textId="11803706" w:rsidR="0085537D" w:rsidRPr="00944A3F" w:rsidRDefault="0085537D" w:rsidP="00A644C6">
      <w:pPr>
        <w:spacing w:line="240" w:lineRule="auto"/>
        <w:rPr>
          <w:rFonts w:ascii="Assistant" w:hAnsi="Assistant" w:cs="Assistant"/>
          <w:rtl/>
        </w:rPr>
      </w:pPr>
      <w:r w:rsidRPr="00944A3F">
        <w:rPr>
          <w:rFonts w:ascii="Assistant" w:hAnsi="Assistant" w:cs="Assistant" w:hint="cs"/>
          <w:rtl/>
        </w:rPr>
        <w:t>החל ממועד ההשלמה</w:t>
      </w:r>
      <w:r w:rsidR="00843C12">
        <w:rPr>
          <w:rFonts w:ascii="Assistant" w:hAnsi="Assistant" w:cs="Assistant" w:hint="cs"/>
          <w:rtl/>
        </w:rPr>
        <w:t>,</w:t>
      </w:r>
      <w:r w:rsidRPr="00944A3F">
        <w:rPr>
          <w:rFonts w:ascii="Assistant" w:hAnsi="Assistant" w:cs="Assistant" w:hint="cs"/>
          <w:rtl/>
        </w:rPr>
        <w:t xml:space="preserve"> ניהולן של קופות הגמל בניהול אישי המפורטות להלן מבוצע באמצעות גלובל נט, אשר תמשיך לנהל את קופות הגמל בניהול אישי בנאמנות עבור עמיתיה.</w:t>
      </w:r>
    </w:p>
    <w:p w14:paraId="3D51CB47" w14:textId="77777777" w:rsidR="0085537D" w:rsidRPr="00944A3F" w:rsidRDefault="0085537D" w:rsidP="00A644C6">
      <w:pPr>
        <w:spacing w:line="240" w:lineRule="auto"/>
        <w:jc w:val="left"/>
        <w:rPr>
          <w:rFonts w:ascii="Assistant" w:hAnsi="Assistant" w:cs="Assistant"/>
          <w:rtl/>
        </w:rPr>
      </w:pPr>
      <w:r w:rsidRPr="00944A3F">
        <w:rPr>
          <w:rFonts w:ascii="Assistant" w:hAnsi="Assistant" w:cs="Assistant" w:hint="cs"/>
          <w:rtl/>
        </w:rPr>
        <w:t xml:space="preserve">כחלק מהליך העברת הניהול, אישר הממונה על רשות ההון את שינוי שמות קופות הגמל שהועברו לניהולה כאמור, בהתאם למפורט להלן: </w:t>
      </w:r>
    </w:p>
    <w:tbl>
      <w:tblPr>
        <w:tblStyle w:val="a7"/>
        <w:tblpPr w:leftFromText="180" w:rightFromText="180" w:vertAnchor="text" w:horzAnchor="margin" w:tblpXSpec="center" w:tblpY="413"/>
        <w:bidiVisual/>
        <w:tblW w:w="10357" w:type="dxa"/>
        <w:tblLook w:val="04A0" w:firstRow="1" w:lastRow="0" w:firstColumn="1" w:lastColumn="0" w:noHBand="0" w:noVBand="1"/>
      </w:tblPr>
      <w:tblGrid>
        <w:gridCol w:w="4678"/>
        <w:gridCol w:w="1982"/>
        <w:gridCol w:w="3697"/>
      </w:tblGrid>
      <w:tr w:rsidR="0085537D" w:rsidRPr="00944A3F" w14:paraId="299D9A58" w14:textId="77777777" w:rsidTr="00BB0BA1">
        <w:trPr>
          <w:trHeight w:val="611"/>
        </w:trPr>
        <w:tc>
          <w:tcPr>
            <w:tcW w:w="4678" w:type="dxa"/>
            <w:vAlign w:val="center"/>
          </w:tcPr>
          <w:p w14:paraId="05F03691" w14:textId="77777777" w:rsidR="0085537D" w:rsidRPr="00944A3F" w:rsidRDefault="0085537D" w:rsidP="00A644C6">
            <w:pPr>
              <w:spacing w:line="240" w:lineRule="auto"/>
              <w:jc w:val="center"/>
              <w:rPr>
                <w:rFonts w:ascii="Assistant" w:hAnsi="Assistant" w:cs="Assistant"/>
                <w:b/>
                <w:bCs/>
                <w:rtl/>
              </w:rPr>
            </w:pPr>
            <w:r w:rsidRPr="00944A3F">
              <w:rPr>
                <w:rFonts w:ascii="Assistant" w:hAnsi="Assistant" w:cs="Assistant" w:hint="cs"/>
                <w:b/>
                <w:bCs/>
                <w:rtl/>
              </w:rPr>
              <w:t xml:space="preserve">שם הקופה </w:t>
            </w:r>
            <w:r w:rsidRPr="00944A3F">
              <w:rPr>
                <w:rFonts w:ascii="Assistant" w:hAnsi="Assistant" w:cs="Assistant" w:hint="cs"/>
                <w:b/>
                <w:bCs/>
                <w:u w:val="single"/>
                <w:rtl/>
              </w:rPr>
              <w:t>לפני</w:t>
            </w:r>
            <w:r w:rsidRPr="00944A3F">
              <w:rPr>
                <w:rFonts w:ascii="Assistant" w:hAnsi="Assistant" w:cs="Assistant" w:hint="cs"/>
                <w:b/>
                <w:bCs/>
                <w:rtl/>
              </w:rPr>
              <w:t xml:space="preserve"> הליך העברת הניהול</w:t>
            </w:r>
          </w:p>
        </w:tc>
        <w:tc>
          <w:tcPr>
            <w:tcW w:w="1982" w:type="dxa"/>
            <w:vAlign w:val="center"/>
          </w:tcPr>
          <w:p w14:paraId="6B6A0EFF" w14:textId="77777777" w:rsidR="0085537D" w:rsidRPr="00944A3F" w:rsidRDefault="0085537D" w:rsidP="00A644C6">
            <w:pPr>
              <w:spacing w:line="240" w:lineRule="auto"/>
              <w:jc w:val="center"/>
              <w:rPr>
                <w:rFonts w:ascii="Assistant" w:hAnsi="Assistant" w:cs="Assistant"/>
                <w:b/>
                <w:bCs/>
                <w:rtl/>
              </w:rPr>
            </w:pPr>
            <w:r w:rsidRPr="00944A3F">
              <w:rPr>
                <w:rFonts w:ascii="Assistant" w:hAnsi="Assistant" w:cs="Assistant" w:hint="cs"/>
                <w:b/>
                <w:bCs/>
                <w:rtl/>
              </w:rPr>
              <w:t>מס' הקופה</w:t>
            </w:r>
          </w:p>
        </w:tc>
        <w:tc>
          <w:tcPr>
            <w:tcW w:w="3697" w:type="dxa"/>
            <w:vAlign w:val="center"/>
          </w:tcPr>
          <w:p w14:paraId="5ECE40ED" w14:textId="77777777" w:rsidR="0085537D" w:rsidRPr="00944A3F" w:rsidRDefault="0085537D" w:rsidP="00A644C6">
            <w:pPr>
              <w:spacing w:line="240" w:lineRule="auto"/>
              <w:jc w:val="center"/>
              <w:rPr>
                <w:rFonts w:ascii="Assistant" w:hAnsi="Assistant" w:cs="Assistant"/>
                <w:b/>
                <w:bCs/>
                <w:rtl/>
              </w:rPr>
            </w:pPr>
            <w:r w:rsidRPr="00944A3F">
              <w:rPr>
                <w:rFonts w:ascii="Assistant" w:hAnsi="Assistant" w:cs="Assistant" w:hint="cs"/>
                <w:b/>
                <w:bCs/>
                <w:rtl/>
              </w:rPr>
              <w:t xml:space="preserve">שם הקופה </w:t>
            </w:r>
            <w:r w:rsidRPr="00944A3F">
              <w:rPr>
                <w:rFonts w:ascii="Assistant" w:hAnsi="Assistant" w:cs="Assistant" w:hint="cs"/>
                <w:b/>
                <w:bCs/>
                <w:u w:val="single"/>
                <w:rtl/>
              </w:rPr>
              <w:t>לאחר</w:t>
            </w:r>
            <w:r w:rsidRPr="00944A3F">
              <w:rPr>
                <w:rFonts w:ascii="Assistant" w:hAnsi="Assistant" w:cs="Assistant" w:hint="cs"/>
                <w:b/>
                <w:bCs/>
                <w:rtl/>
              </w:rPr>
              <w:t xml:space="preserve"> הליך העברת הניהול</w:t>
            </w:r>
          </w:p>
        </w:tc>
      </w:tr>
      <w:tr w:rsidR="0085537D" w:rsidRPr="00944A3F" w14:paraId="7C656DEC" w14:textId="77777777" w:rsidTr="00BB0BA1">
        <w:trPr>
          <w:trHeight w:val="611"/>
        </w:trPr>
        <w:tc>
          <w:tcPr>
            <w:tcW w:w="4678" w:type="dxa"/>
            <w:vAlign w:val="center"/>
          </w:tcPr>
          <w:p w14:paraId="1E36D812"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הפניקס תגמולים בניהול אישי – לשעבר אקסלנס</w:t>
            </w:r>
          </w:p>
        </w:tc>
        <w:tc>
          <w:tcPr>
            <w:tcW w:w="1982" w:type="dxa"/>
            <w:vAlign w:val="center"/>
          </w:tcPr>
          <w:p w14:paraId="390BE38F"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1541</w:t>
            </w:r>
          </w:p>
        </w:tc>
        <w:tc>
          <w:tcPr>
            <w:tcW w:w="3697" w:type="dxa"/>
            <w:vAlign w:val="center"/>
          </w:tcPr>
          <w:p w14:paraId="1825C78F"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 xml:space="preserve">גלובל נט גמל  </w:t>
            </w:r>
            <w:r w:rsidRPr="00944A3F">
              <w:rPr>
                <w:rFonts w:ascii="Assistant" w:hAnsi="Assistant" w:cs="Assistant" w:hint="cs"/>
              </w:rPr>
              <w:t>IRA</w:t>
            </w:r>
          </w:p>
        </w:tc>
      </w:tr>
      <w:tr w:rsidR="0085537D" w:rsidRPr="00944A3F" w14:paraId="5AFF55D9" w14:textId="77777777" w:rsidTr="00BB0BA1">
        <w:trPr>
          <w:trHeight w:val="611"/>
        </w:trPr>
        <w:tc>
          <w:tcPr>
            <w:tcW w:w="4678" w:type="dxa"/>
            <w:vAlign w:val="center"/>
          </w:tcPr>
          <w:p w14:paraId="5A36E0AF"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הפניקס תגמולים בניהול אישי – לשעבר אי בי אי</w:t>
            </w:r>
          </w:p>
        </w:tc>
        <w:tc>
          <w:tcPr>
            <w:tcW w:w="1982" w:type="dxa"/>
            <w:vAlign w:val="center"/>
          </w:tcPr>
          <w:p w14:paraId="06566D6C"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2098</w:t>
            </w:r>
          </w:p>
        </w:tc>
        <w:tc>
          <w:tcPr>
            <w:tcW w:w="3697" w:type="dxa"/>
            <w:vAlign w:val="center"/>
          </w:tcPr>
          <w:p w14:paraId="3CB08587"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גלובל נט גמל בניהול אישי</w:t>
            </w:r>
          </w:p>
        </w:tc>
      </w:tr>
      <w:tr w:rsidR="0085537D" w:rsidRPr="00944A3F" w14:paraId="7FA0613D" w14:textId="77777777" w:rsidTr="00BB0BA1">
        <w:trPr>
          <w:trHeight w:val="611"/>
        </w:trPr>
        <w:tc>
          <w:tcPr>
            <w:tcW w:w="4678" w:type="dxa"/>
            <w:vAlign w:val="center"/>
          </w:tcPr>
          <w:p w14:paraId="108D3C74"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הפניקס השתלמות בניהול אישי – לשעבר אקסלנס</w:t>
            </w:r>
          </w:p>
        </w:tc>
        <w:tc>
          <w:tcPr>
            <w:tcW w:w="1982" w:type="dxa"/>
            <w:vAlign w:val="center"/>
          </w:tcPr>
          <w:p w14:paraId="1554E0B8"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1542</w:t>
            </w:r>
          </w:p>
        </w:tc>
        <w:tc>
          <w:tcPr>
            <w:tcW w:w="3697" w:type="dxa"/>
            <w:vAlign w:val="center"/>
          </w:tcPr>
          <w:p w14:paraId="743DBD9F"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 xml:space="preserve">גלובל נט השתלמות </w:t>
            </w:r>
            <w:r w:rsidRPr="00944A3F">
              <w:rPr>
                <w:rFonts w:ascii="Assistant" w:hAnsi="Assistant" w:cs="Assistant" w:hint="cs"/>
              </w:rPr>
              <w:t>IRA</w:t>
            </w:r>
          </w:p>
        </w:tc>
      </w:tr>
      <w:tr w:rsidR="0085537D" w:rsidRPr="00944A3F" w14:paraId="041D28EB" w14:textId="77777777" w:rsidTr="00BB0BA1">
        <w:trPr>
          <w:trHeight w:val="611"/>
        </w:trPr>
        <w:tc>
          <w:tcPr>
            <w:tcW w:w="4678" w:type="dxa"/>
            <w:vAlign w:val="center"/>
          </w:tcPr>
          <w:p w14:paraId="46BF5154"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הפניקס השתלמות בניהול אישי – לשעבר אי בי אי</w:t>
            </w:r>
          </w:p>
        </w:tc>
        <w:tc>
          <w:tcPr>
            <w:tcW w:w="1982" w:type="dxa"/>
            <w:vAlign w:val="center"/>
          </w:tcPr>
          <w:p w14:paraId="349FDA35"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2100</w:t>
            </w:r>
          </w:p>
        </w:tc>
        <w:tc>
          <w:tcPr>
            <w:tcW w:w="3697" w:type="dxa"/>
            <w:vAlign w:val="center"/>
          </w:tcPr>
          <w:p w14:paraId="73830329" w14:textId="77777777" w:rsidR="0085537D" w:rsidRPr="00944A3F" w:rsidRDefault="0085537D" w:rsidP="00B17AB5">
            <w:pPr>
              <w:spacing w:line="240" w:lineRule="auto"/>
              <w:jc w:val="center"/>
              <w:rPr>
                <w:rFonts w:ascii="Assistant" w:hAnsi="Assistant" w:cs="Assistant"/>
                <w:rtl/>
              </w:rPr>
            </w:pPr>
            <w:r w:rsidRPr="00944A3F">
              <w:rPr>
                <w:rFonts w:ascii="Assistant" w:hAnsi="Assistant" w:cs="Assistant" w:hint="cs"/>
                <w:rtl/>
              </w:rPr>
              <w:t>גלובל נט השתלמות בניהול אישי</w:t>
            </w:r>
          </w:p>
        </w:tc>
      </w:tr>
    </w:tbl>
    <w:p w14:paraId="6DB77DEF" w14:textId="77777777" w:rsidR="00ED054E" w:rsidRDefault="0085537D" w:rsidP="00B17AB5">
      <w:pPr>
        <w:spacing w:line="240" w:lineRule="auto"/>
        <w:jc w:val="left"/>
        <w:rPr>
          <w:rFonts w:ascii="Assistant" w:hAnsi="Assistant" w:cs="Assistant"/>
          <w:rtl/>
        </w:rPr>
      </w:pPr>
      <w:bookmarkStart w:id="15" w:name="_Hlk102296154"/>
      <w:r w:rsidRPr="00944A3F">
        <w:rPr>
          <w:rFonts w:ascii="Assistant" w:hAnsi="Assistant" w:cs="Assistant" w:hint="cs"/>
          <w:rtl/>
        </w:rPr>
        <w:t>(להלן: "</w:t>
      </w:r>
      <w:r w:rsidRPr="00944A3F">
        <w:rPr>
          <w:rFonts w:ascii="Assistant" w:hAnsi="Assistant" w:cs="Assistant" w:hint="cs"/>
          <w:b/>
          <w:bCs/>
          <w:rtl/>
        </w:rPr>
        <w:t>קופות הגמל בניהול אישי</w:t>
      </w:r>
      <w:r w:rsidRPr="00944A3F">
        <w:rPr>
          <w:rFonts w:ascii="Assistant" w:hAnsi="Assistant" w:cs="Assistant" w:hint="cs"/>
          <w:rtl/>
        </w:rPr>
        <w:t>").</w:t>
      </w:r>
    </w:p>
    <w:bookmarkEnd w:id="15"/>
    <w:p w14:paraId="33672D5D" w14:textId="77777777" w:rsidR="00ED054E" w:rsidRDefault="00ED054E">
      <w:pPr>
        <w:bidi w:val="0"/>
        <w:spacing w:before="0" w:after="160" w:line="259" w:lineRule="auto"/>
        <w:jc w:val="left"/>
        <w:rPr>
          <w:rFonts w:ascii="Assistant" w:hAnsi="Assistant" w:cs="Assistant"/>
          <w:rtl/>
        </w:rPr>
      </w:pPr>
      <w:r>
        <w:rPr>
          <w:rFonts w:ascii="Assistant" w:hAnsi="Assistant" w:cs="Assistant"/>
          <w:rtl/>
        </w:rPr>
        <w:br w:type="page"/>
      </w:r>
    </w:p>
    <w:p w14:paraId="18442639" w14:textId="77777777" w:rsidR="0085537D" w:rsidRPr="00944A3F" w:rsidRDefault="0085537D" w:rsidP="00A644C6">
      <w:pPr>
        <w:spacing w:line="240" w:lineRule="auto"/>
        <w:jc w:val="right"/>
        <w:rPr>
          <w:rFonts w:ascii="Assistant" w:hAnsi="Assistant" w:cs="Assistant"/>
          <w:rtl/>
        </w:rPr>
      </w:pPr>
    </w:p>
    <w:p w14:paraId="097B1F98"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הליך העברת הניהול נעשה בהתאם להוראת סעיף 41 לחוק הפיקוח על שירותים פיננסיים (קופות גמל), התשס"ה-2005 (להלן: "</w:t>
      </w:r>
      <w:r w:rsidRPr="00944A3F">
        <w:rPr>
          <w:rFonts w:ascii="Assistant" w:hAnsi="Assistant" w:cs="Assistant" w:hint="cs"/>
          <w:b/>
          <w:bCs/>
          <w:rtl/>
        </w:rPr>
        <w:t>חוק קופות גמל</w:t>
      </w:r>
      <w:r w:rsidRPr="00944A3F">
        <w:rPr>
          <w:rFonts w:ascii="Assistant" w:hAnsi="Assistant" w:cs="Assistant" w:hint="cs"/>
          <w:rtl/>
        </w:rPr>
        <w:t>"), ולהוראות הממונה על רשות שוק ההון, ביטוח וחיסכון במשרד האוצר (להלן: "</w:t>
      </w:r>
      <w:r w:rsidRPr="00944A3F">
        <w:rPr>
          <w:rFonts w:ascii="Assistant" w:hAnsi="Assistant" w:cs="Assistant" w:hint="cs"/>
          <w:b/>
          <w:bCs/>
          <w:rtl/>
        </w:rPr>
        <w:t>הממונה</w:t>
      </w:r>
      <w:r w:rsidRPr="00944A3F">
        <w:rPr>
          <w:rFonts w:ascii="Assistant" w:hAnsi="Assistant" w:cs="Assistant" w:hint="cs"/>
          <w:rtl/>
        </w:rPr>
        <w:t>").</w:t>
      </w:r>
    </w:p>
    <w:p w14:paraId="5377B740"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 xml:space="preserve">יודגש, כי אין בביצוע הליך העברת הניהול כדי לפגוע בזכויותיך בחשבונך בקופת הגמל בה הנך עמית, והן תישארנה ללא שינוי. משמעות המונח "תישארנה ללא שינוי" הינה כי זכויות העמיתים לא תיפגענה מעצם העברת הניהול ורציפותן תמשך כאילו לא חל כל שינוי. </w:t>
      </w:r>
    </w:p>
    <w:p w14:paraId="32BDF276" w14:textId="77777777" w:rsidR="0085537D" w:rsidRPr="00944A3F" w:rsidRDefault="0085537D" w:rsidP="00A644C6">
      <w:pPr>
        <w:keepNext/>
        <w:keepLines/>
        <w:numPr>
          <w:ilvl w:val="1"/>
          <w:numId w:val="0"/>
        </w:numPr>
        <w:tabs>
          <w:tab w:val="num" w:pos="1800"/>
        </w:tabs>
        <w:spacing w:before="160" w:line="240" w:lineRule="auto"/>
        <w:ind w:left="26"/>
        <w:rPr>
          <w:rFonts w:ascii="Assistant" w:hAnsi="Assistant" w:cs="Assistant"/>
          <w:rtl/>
        </w:rPr>
      </w:pPr>
      <w:r w:rsidRPr="00944A3F">
        <w:rPr>
          <w:rFonts w:ascii="Assistant" w:hAnsi="Assistant" w:cs="Assistant" w:hint="cs"/>
          <w:rtl/>
        </w:rPr>
        <w:t>לידיעתך, כל עמית זכאי להעביר את כספיו הצבורים בקופת הגמל בניהול אישי לכל קופת גמל אחרת לאותה מטרה שיבחר, בכפוף להוראות הדין.</w:t>
      </w:r>
    </w:p>
    <w:p w14:paraId="3C0B5509"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 xml:space="preserve">מתוקף היותה חברה מנהלת, גלובל נט רשאית לשנות את תנאי ניהול חשבונך בקופות הגמל והכל בהתאם ובכפוף להוראות הדין.  </w:t>
      </w:r>
    </w:p>
    <w:p w14:paraId="19CA0EA4"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אנו עומדים לרשותך בכל שאלה או הבהרה שתידרש לך בקשר עם הליך העברת הניהול. ניתן לפנות אלינו, בהתאם לפרטים המפורטים להלן:</w:t>
      </w:r>
    </w:p>
    <w:p w14:paraId="77A07148"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 xml:space="preserve">מען: </w:t>
      </w:r>
      <w:r w:rsidR="00152EFA" w:rsidRPr="0095556B">
        <w:rPr>
          <w:rFonts w:ascii="Assistant" w:hAnsi="Assistant" w:cs="Assistant" w:hint="cs"/>
          <w:u w:val="single"/>
          <w:rtl/>
        </w:rPr>
        <w:t xml:space="preserve">ז'בוטינסקי 9 </w:t>
      </w:r>
      <w:r w:rsidR="00152EFA">
        <w:rPr>
          <w:rFonts w:ascii="Assistant" w:hAnsi="Assistant" w:cs="Assistant" w:hint="cs"/>
          <w:u w:val="single"/>
          <w:rtl/>
        </w:rPr>
        <w:t>,</w:t>
      </w:r>
      <w:r w:rsidR="00152EFA" w:rsidRPr="0095556B">
        <w:rPr>
          <w:rFonts w:ascii="Assistant" w:hAnsi="Assistant" w:cs="Assistant" w:hint="cs"/>
          <w:u w:val="single"/>
          <w:rtl/>
        </w:rPr>
        <w:t xml:space="preserve">בני ברק </w:t>
      </w:r>
      <w:r w:rsidR="00152EFA" w:rsidRPr="0095556B">
        <w:rPr>
          <w:rFonts w:ascii="Assistant" w:hAnsi="Assistant" w:cs="Assistant" w:hint="cs"/>
          <w:u w:val="single"/>
        </w:rPr>
        <w:t>5126417</w:t>
      </w:r>
      <w:r w:rsidR="00152EFA" w:rsidRPr="0095556B">
        <w:rPr>
          <w:rFonts w:ascii="Assistant" w:hAnsi="Assistant" w:cs="Assistant" w:hint="cs"/>
          <w:sz w:val="20"/>
          <w:szCs w:val="20"/>
          <w:rtl/>
        </w:rPr>
        <w:t xml:space="preserve">  </w:t>
      </w:r>
      <w:r w:rsidRPr="00944A3F">
        <w:rPr>
          <w:rFonts w:ascii="Assistant" w:hAnsi="Assistant" w:cs="Assistant" w:hint="cs"/>
          <w:rtl/>
        </w:rPr>
        <w:t xml:space="preserve"> </w:t>
      </w:r>
    </w:p>
    <w:p w14:paraId="6126D0D7" w14:textId="77777777" w:rsidR="0085537D" w:rsidRPr="00944A3F" w:rsidRDefault="0085537D" w:rsidP="00A644C6">
      <w:pPr>
        <w:spacing w:line="240" w:lineRule="auto"/>
        <w:rPr>
          <w:rFonts w:ascii="Assistant" w:hAnsi="Assistant" w:cs="Assistant"/>
          <w:rtl/>
        </w:rPr>
      </w:pPr>
      <w:r w:rsidRPr="00944A3F">
        <w:rPr>
          <w:rFonts w:ascii="Assistant" w:hAnsi="Assistant" w:cs="Assistant" w:hint="cs"/>
          <w:rtl/>
        </w:rPr>
        <w:t xml:space="preserve">טל': </w:t>
      </w:r>
      <w:r w:rsidR="00DC6A1D" w:rsidRPr="0095556B">
        <w:rPr>
          <w:rFonts w:ascii="Assistant" w:hAnsi="Assistant" w:cs="Assistant" w:hint="cs"/>
          <w:u w:val="single"/>
          <w:rtl/>
        </w:rPr>
        <w:t>03-5707666</w:t>
      </w:r>
      <w:r w:rsidRPr="00944A3F">
        <w:rPr>
          <w:rFonts w:ascii="Assistant" w:hAnsi="Assistant" w:cs="Assistant" w:hint="cs"/>
          <w:rtl/>
        </w:rPr>
        <w:tab/>
      </w:r>
    </w:p>
    <w:p w14:paraId="2926A159" w14:textId="77777777" w:rsidR="009106B5" w:rsidRDefault="0085537D" w:rsidP="00A644C6">
      <w:pPr>
        <w:spacing w:line="240" w:lineRule="auto"/>
        <w:jc w:val="left"/>
        <w:rPr>
          <w:rFonts w:ascii="Assistant" w:hAnsi="Assistant" w:cs="Assistant"/>
          <w:rtl/>
        </w:rPr>
      </w:pPr>
      <w:r w:rsidRPr="00944A3F">
        <w:rPr>
          <w:rFonts w:ascii="Assistant" w:hAnsi="Assistant" w:cs="Assistant" w:hint="cs"/>
          <w:rtl/>
        </w:rPr>
        <w:t xml:space="preserve">כתובת אתר אינטרנט: </w:t>
      </w:r>
      <w:hyperlink r:id="rId11" w:history="1">
        <w:r w:rsidR="00E81A4B" w:rsidRPr="001E17D0">
          <w:rPr>
            <w:rStyle w:val="Hyperlink"/>
            <w:rFonts w:ascii="Assistant" w:hAnsi="Assistant" w:cs="Assistant" w:hint="cs"/>
          </w:rPr>
          <w:t>www.globalnetgemel.co.il</w:t>
        </w:r>
      </w:hyperlink>
      <w:r w:rsidR="00E81A4B">
        <w:rPr>
          <w:rFonts w:ascii="Assistant" w:hAnsi="Assistant" w:cs="Assistant" w:hint="cs"/>
          <w:rtl/>
        </w:rPr>
        <w:t xml:space="preserve"> </w:t>
      </w:r>
    </w:p>
    <w:p w14:paraId="4A08939F" w14:textId="77777777" w:rsidR="0085537D" w:rsidRPr="00944A3F" w:rsidRDefault="0085537D" w:rsidP="00A644C6">
      <w:pPr>
        <w:spacing w:line="240" w:lineRule="auto"/>
        <w:jc w:val="left"/>
        <w:rPr>
          <w:rFonts w:ascii="Assistant" w:hAnsi="Assistant" w:cs="Assistant"/>
          <w:rtl/>
        </w:rPr>
      </w:pPr>
      <w:r w:rsidRPr="00944A3F">
        <w:rPr>
          <w:rFonts w:ascii="Assistant" w:hAnsi="Assistant" w:cs="Assistant" w:hint="cs"/>
          <w:rtl/>
        </w:rPr>
        <w:t>כתובת דוא"ל</w:t>
      </w:r>
      <w:r w:rsidR="00EC7877">
        <w:rPr>
          <w:rFonts w:ascii="Assistant" w:hAnsi="Assistant" w:cs="Assistant" w:hint="cs"/>
          <w:rtl/>
        </w:rPr>
        <w:t xml:space="preserve"> לפניות : </w:t>
      </w:r>
      <w:r w:rsidR="00AE57B1" w:rsidRPr="00AE57B1">
        <w:rPr>
          <w:rStyle w:val="Hyperlink"/>
          <w:rFonts w:ascii="Assistant" w:hAnsi="Assistant" w:cs="Assistant"/>
        </w:rPr>
        <w:t>sherut@gngemel.co.il</w:t>
      </w:r>
      <w:r w:rsidR="00EC7877">
        <w:rPr>
          <w:rFonts w:ascii="Assistant" w:hAnsi="Assistant" w:cs="Assistant" w:hint="cs"/>
          <w:rtl/>
        </w:rPr>
        <w:t xml:space="preserve"> </w:t>
      </w:r>
      <w:r w:rsidRPr="00944A3F">
        <w:rPr>
          <w:rFonts w:ascii="Assistant" w:hAnsi="Assistant" w:cs="Assistant" w:hint="cs"/>
          <w:rtl/>
        </w:rPr>
        <w:tab/>
      </w:r>
      <w:r w:rsidRPr="00944A3F">
        <w:rPr>
          <w:rFonts w:ascii="Assistant" w:hAnsi="Assistant" w:cs="Assistant" w:hint="cs"/>
          <w:rtl/>
        </w:rPr>
        <w:tab/>
      </w:r>
      <w:r w:rsidRPr="00944A3F">
        <w:rPr>
          <w:rFonts w:ascii="Assistant" w:hAnsi="Assistant" w:cs="Assistant" w:hint="cs"/>
          <w:rtl/>
        </w:rPr>
        <w:tab/>
      </w:r>
      <w:r w:rsidRPr="00944A3F">
        <w:rPr>
          <w:rFonts w:ascii="Assistant" w:hAnsi="Assistant" w:cs="Assistant" w:hint="cs"/>
          <w:rtl/>
        </w:rPr>
        <w:tab/>
      </w:r>
    </w:p>
    <w:bookmarkEnd w:id="0"/>
    <w:bookmarkEnd w:id="1"/>
    <w:bookmarkEnd w:id="2"/>
    <w:bookmarkEnd w:id="3"/>
    <w:bookmarkEnd w:id="4"/>
    <w:bookmarkEnd w:id="5"/>
    <w:bookmarkEnd w:id="6"/>
    <w:bookmarkEnd w:id="7"/>
    <w:bookmarkEnd w:id="8"/>
    <w:bookmarkEnd w:id="9"/>
    <w:bookmarkEnd w:id="10"/>
    <w:bookmarkEnd w:id="11"/>
    <w:bookmarkEnd w:id="12"/>
    <w:bookmarkEnd w:id="13"/>
    <w:p w14:paraId="46140EC2" w14:textId="77777777" w:rsidR="0085537D" w:rsidRDefault="0085537D" w:rsidP="00BB0BA1">
      <w:pPr>
        <w:spacing w:after="240" w:line="240" w:lineRule="auto"/>
        <w:jc w:val="right"/>
        <w:rPr>
          <w:rFonts w:ascii="Assistant" w:hAnsi="Assistant" w:cs="Assistant"/>
          <w:rtl/>
        </w:rPr>
      </w:pPr>
    </w:p>
    <w:p w14:paraId="76402850" w14:textId="77777777" w:rsidR="00843C12" w:rsidRDefault="00843C12" w:rsidP="00BB0BA1">
      <w:pPr>
        <w:spacing w:before="0" w:line="240" w:lineRule="auto"/>
        <w:jc w:val="center"/>
        <w:rPr>
          <w:rFonts w:ascii="Assistant" w:hAnsi="Assistant" w:cs="Assistant"/>
          <w:rtl/>
        </w:rPr>
      </w:pPr>
    </w:p>
    <w:p w14:paraId="165782CC" w14:textId="65A50516" w:rsidR="00BB0BA1" w:rsidRDefault="00843C12" w:rsidP="00BB0BA1">
      <w:pPr>
        <w:spacing w:before="0" w:line="240" w:lineRule="auto"/>
        <w:jc w:val="center"/>
        <w:rPr>
          <w:rFonts w:ascii="Assistant" w:hAnsi="Assistant" w:cs="Assistant"/>
          <w:rtl/>
        </w:rPr>
      </w:pPr>
      <w:r>
        <w:rPr>
          <w:rFonts w:ascii="Assistant" w:hAnsi="Assistant" w:cs="Assistant" w:hint="cs"/>
          <w:rtl/>
        </w:rPr>
        <w:t xml:space="preserve">                                         </w:t>
      </w:r>
      <w:r w:rsidR="00BB0BA1">
        <w:rPr>
          <w:rFonts w:ascii="Assistant" w:hAnsi="Assistant" w:cs="Assistant" w:hint="cs"/>
          <w:rtl/>
        </w:rPr>
        <w:t xml:space="preserve">                                                                                            בכבוד רב,</w:t>
      </w:r>
    </w:p>
    <w:p w14:paraId="364177CB" w14:textId="77777777" w:rsidR="00BB0BA1" w:rsidRPr="00AE71E2" w:rsidRDefault="00BB0BA1" w:rsidP="003D4EAD">
      <w:pPr>
        <w:spacing w:before="0" w:line="240" w:lineRule="auto"/>
        <w:jc w:val="center"/>
        <w:rPr>
          <w:rFonts w:ascii="Assistant" w:hAnsi="Assistant" w:cs="Assistant"/>
          <w:rtl/>
        </w:rPr>
      </w:pPr>
      <w:r>
        <w:rPr>
          <w:rFonts w:ascii="Assistant" w:hAnsi="Assistant" w:cs="Assistant" w:hint="cs"/>
          <w:rtl/>
        </w:rPr>
        <w:t>גלובל נט ניהול קופות גמל</w:t>
      </w:r>
      <w:bookmarkStart w:id="16" w:name="_Hlk96859144"/>
      <w:bookmarkEnd w:id="16"/>
    </w:p>
    <w:p w14:paraId="089D7C9E" w14:textId="77777777" w:rsidR="00BB0BA1" w:rsidRPr="00944A3F" w:rsidRDefault="00BB0BA1" w:rsidP="00BB0BA1">
      <w:pPr>
        <w:spacing w:before="0" w:after="240" w:line="240" w:lineRule="auto"/>
        <w:jc w:val="right"/>
        <w:rPr>
          <w:rFonts w:ascii="Assistant" w:hAnsi="Assistant" w:cs="Assistant"/>
          <w:rtl/>
        </w:rPr>
      </w:pPr>
    </w:p>
    <w:bookmarkEnd w:id="14"/>
    <w:p w14:paraId="1CC27305" w14:textId="77777777" w:rsidR="0085537D" w:rsidRPr="00944A3F" w:rsidRDefault="0085537D" w:rsidP="00A644C6">
      <w:pPr>
        <w:spacing w:line="240" w:lineRule="auto"/>
        <w:jc w:val="center"/>
        <w:rPr>
          <w:rFonts w:ascii="Assistant" w:hAnsi="Assistant" w:cs="Assistant"/>
          <w:b/>
          <w:bCs/>
          <w:rtl/>
        </w:rPr>
      </w:pPr>
    </w:p>
    <w:p w14:paraId="6AC35471" w14:textId="2A1DF410" w:rsidR="00624057" w:rsidRDefault="00624057" w:rsidP="00A644C6">
      <w:pPr>
        <w:spacing w:line="240" w:lineRule="auto"/>
        <w:rPr>
          <w:rFonts w:ascii="Assistant" w:hAnsi="Assistant" w:cs="Assistant" w:hint="cs"/>
          <w:rtl/>
        </w:rPr>
      </w:pPr>
    </w:p>
    <w:p w14:paraId="5A28E36D" w14:textId="6DA9AFBA" w:rsidR="00CD4577" w:rsidRDefault="00CD4577" w:rsidP="00CD4577">
      <w:pPr>
        <w:rPr>
          <w:rFonts w:ascii="Assistant" w:hAnsi="Assistant" w:cs="Assistant" w:hint="cs"/>
          <w:rtl/>
        </w:rPr>
      </w:pPr>
    </w:p>
    <w:p w14:paraId="21C75853" w14:textId="77943566" w:rsidR="00CD4577" w:rsidRPr="00CD4577" w:rsidRDefault="00CD4577" w:rsidP="00CD4577">
      <w:pPr>
        <w:tabs>
          <w:tab w:val="left" w:pos="2861"/>
        </w:tabs>
        <w:rPr>
          <w:rFonts w:ascii="Assistant" w:hAnsi="Assistant" w:cs="Assistant"/>
          <w:rtl/>
        </w:rPr>
      </w:pPr>
      <w:r>
        <w:rPr>
          <w:rFonts w:ascii="Assistant" w:hAnsi="Assistant" w:cs="Assistant"/>
          <w:rtl/>
        </w:rPr>
        <w:tab/>
      </w:r>
    </w:p>
    <w:sectPr w:rsidR="00CD4577" w:rsidRPr="00CD45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5171" w14:textId="77777777" w:rsidR="006D4941" w:rsidRDefault="006D4941" w:rsidP="0023223F">
      <w:pPr>
        <w:spacing w:line="240" w:lineRule="auto"/>
      </w:pPr>
      <w:r>
        <w:separator/>
      </w:r>
    </w:p>
  </w:endnote>
  <w:endnote w:type="continuationSeparator" w:id="0">
    <w:p w14:paraId="18F4C111" w14:textId="77777777" w:rsidR="006D4941" w:rsidRDefault="006D4941" w:rsidP="00232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altName w:val="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402A" w14:textId="77777777" w:rsidR="00257C70" w:rsidRPr="00624057" w:rsidRDefault="00257C70" w:rsidP="00EB0B60">
    <w:pPr>
      <w:spacing w:before="0" w:line="240" w:lineRule="auto"/>
      <w:rPr>
        <w:rFonts w:ascii="Assistant" w:hAnsi="Assistant" w:cs="Assistant"/>
        <w:b/>
        <w:bCs/>
        <w:sz w:val="20"/>
        <w:szCs w:val="20"/>
        <w:rtl/>
      </w:rPr>
    </w:pPr>
    <w:r w:rsidRPr="00624057">
      <w:rPr>
        <w:rFonts w:ascii="Assistant" w:hAnsi="Assistant" w:cs="Assistant" w:hint="cs"/>
        <w:b/>
        <w:bCs/>
        <w:sz w:val="20"/>
        <w:szCs w:val="20"/>
        <w:rtl/>
      </w:rPr>
      <w:t>גלובל נט ניהול קופות גמל (</w:t>
    </w:r>
    <w:proofErr w:type="spellStart"/>
    <w:r w:rsidRPr="00624057">
      <w:rPr>
        <w:rFonts w:ascii="Assistant" w:hAnsi="Assistant" w:cs="Assistant" w:hint="cs"/>
        <w:b/>
        <w:bCs/>
        <w:sz w:val="20"/>
        <w:szCs w:val="20"/>
        <w:rtl/>
      </w:rPr>
      <w:t>ג.נ.נ.ק.ג</w:t>
    </w:r>
    <w:proofErr w:type="spellEnd"/>
    <w:r w:rsidRPr="00624057">
      <w:rPr>
        <w:rFonts w:ascii="Assistant" w:hAnsi="Assistant" w:cs="Assistant" w:hint="cs"/>
        <w:b/>
        <w:bCs/>
        <w:sz w:val="20"/>
        <w:szCs w:val="20"/>
        <w:rtl/>
      </w:rPr>
      <w:t>) בע“מ</w:t>
    </w:r>
  </w:p>
  <w:p w14:paraId="4A5C66AC" w14:textId="0C330349" w:rsidR="00257C70" w:rsidRPr="00B02546" w:rsidRDefault="00257C70" w:rsidP="00EB0B60">
    <w:pPr>
      <w:spacing w:before="0" w:line="240" w:lineRule="auto"/>
      <w:rPr>
        <w:rFonts w:ascii="Assistant" w:hAnsi="Assistant" w:cs="Assistant"/>
        <w:sz w:val="20"/>
        <w:szCs w:val="20"/>
        <w:rtl/>
      </w:rPr>
    </w:pPr>
    <w:r w:rsidRPr="00624057">
      <w:rPr>
        <w:rFonts w:ascii="Assistant" w:hAnsi="Assistant" w:cs="Assistant" w:hint="cs"/>
        <w:sz w:val="20"/>
        <w:szCs w:val="20"/>
        <w:rtl/>
      </w:rPr>
      <w:t xml:space="preserve">טלפון 03-5707666 , ז'בוטינסקי 9 בני ברק </w:t>
    </w:r>
    <w:r w:rsidRPr="00624057">
      <w:rPr>
        <w:rFonts w:ascii="Assistant" w:hAnsi="Assistant" w:cs="Assistant" w:hint="cs"/>
        <w:sz w:val="20"/>
        <w:szCs w:val="20"/>
      </w:rPr>
      <w:t>5126417</w:t>
    </w:r>
    <w:r w:rsidRPr="00624057">
      <w:rPr>
        <w:rFonts w:ascii="Assistant" w:hAnsi="Assistant" w:cs="Assistant" w:hint="cs"/>
        <w:sz w:val="20"/>
        <w:szCs w:val="20"/>
        <w:rtl/>
      </w:rPr>
      <w:t xml:space="preserve">  בניין הכשרה </w:t>
    </w:r>
    <w:r w:rsidRPr="00624057">
      <w:rPr>
        <w:rFonts w:ascii="Assistant" w:hAnsi="Assistant" w:cs="Assistant" w:hint="cs"/>
        <w:sz w:val="20"/>
        <w:szCs w:val="20"/>
      </w:rPr>
      <w:t xml:space="preserve"> </w:t>
    </w:r>
    <w:r w:rsidR="00B02546" w:rsidRPr="00B02546">
      <w:rPr>
        <w:rFonts w:ascii="Assistant" w:hAnsi="Assistant" w:cs="Assistant"/>
        <w:sz w:val="20"/>
        <w:szCs w:val="20"/>
      </w:rPr>
      <w:t>sherut@gngemel.co.il</w:t>
    </w:r>
  </w:p>
  <w:p w14:paraId="55DB9F09" w14:textId="77777777" w:rsidR="00257C70" w:rsidRDefault="00257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1E28" w14:textId="77777777" w:rsidR="006D4941" w:rsidRDefault="006D4941" w:rsidP="0023223F">
      <w:pPr>
        <w:spacing w:line="240" w:lineRule="auto"/>
      </w:pPr>
      <w:r>
        <w:separator/>
      </w:r>
    </w:p>
  </w:footnote>
  <w:footnote w:type="continuationSeparator" w:id="0">
    <w:p w14:paraId="53E3451C" w14:textId="77777777" w:rsidR="006D4941" w:rsidRDefault="006D4941" w:rsidP="002322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3744" w14:textId="77777777" w:rsidR="0023223F" w:rsidRDefault="0023223F">
    <w:pPr>
      <w:pStyle w:val="a3"/>
    </w:pPr>
    <w:r w:rsidRPr="0023223F">
      <w:rPr>
        <w:noProof/>
      </w:rPr>
      <w:drawing>
        <wp:anchor distT="0" distB="0" distL="114300" distR="114300" simplePos="0" relativeHeight="251658240" behindDoc="1" locked="0" layoutInCell="1" allowOverlap="1" wp14:anchorId="154191DC" wp14:editId="0F856630">
          <wp:simplePos x="0" y="0"/>
          <wp:positionH relativeFrom="column">
            <wp:posOffset>-784860</wp:posOffset>
          </wp:positionH>
          <wp:positionV relativeFrom="paragraph">
            <wp:posOffset>-175260</wp:posOffset>
          </wp:positionV>
          <wp:extent cx="1219200" cy="821563"/>
          <wp:effectExtent l="0" t="0" r="0" b="0"/>
          <wp:wrapTight wrapText="bothSides">
            <wp:wrapPolygon edited="0">
              <wp:start x="0" y="0"/>
              <wp:lineTo x="0" y="21049"/>
              <wp:lineTo x="21263" y="21049"/>
              <wp:lineTo x="21263"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8215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705BA"/>
    <w:multiLevelType w:val="hybridMultilevel"/>
    <w:tmpl w:val="C762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64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BA"/>
    <w:rsid w:val="00030E8D"/>
    <w:rsid w:val="00030F9A"/>
    <w:rsid w:val="000336D0"/>
    <w:rsid w:val="000724D4"/>
    <w:rsid w:val="000A467A"/>
    <w:rsid w:val="001332D5"/>
    <w:rsid w:val="00152EFA"/>
    <w:rsid w:val="00161FAF"/>
    <w:rsid w:val="0016349F"/>
    <w:rsid w:val="0017486C"/>
    <w:rsid w:val="001D3F1E"/>
    <w:rsid w:val="0023223F"/>
    <w:rsid w:val="0025059C"/>
    <w:rsid w:val="002577FD"/>
    <w:rsid w:val="00257C70"/>
    <w:rsid w:val="00297832"/>
    <w:rsid w:val="002B2056"/>
    <w:rsid w:val="002C1B94"/>
    <w:rsid w:val="002E7EE9"/>
    <w:rsid w:val="003A5085"/>
    <w:rsid w:val="003C3627"/>
    <w:rsid w:val="003D4EAD"/>
    <w:rsid w:val="003F3545"/>
    <w:rsid w:val="00414D98"/>
    <w:rsid w:val="0042252E"/>
    <w:rsid w:val="00434BC9"/>
    <w:rsid w:val="00435C4F"/>
    <w:rsid w:val="0058037A"/>
    <w:rsid w:val="00624057"/>
    <w:rsid w:val="006454F5"/>
    <w:rsid w:val="00696E15"/>
    <w:rsid w:val="006B7FBD"/>
    <w:rsid w:val="006D4941"/>
    <w:rsid w:val="00791387"/>
    <w:rsid w:val="00843C12"/>
    <w:rsid w:val="008551BA"/>
    <w:rsid w:val="0085537D"/>
    <w:rsid w:val="008F7902"/>
    <w:rsid w:val="009106B5"/>
    <w:rsid w:val="00944A3F"/>
    <w:rsid w:val="009563AA"/>
    <w:rsid w:val="00963787"/>
    <w:rsid w:val="009655A3"/>
    <w:rsid w:val="00966447"/>
    <w:rsid w:val="009A5FBC"/>
    <w:rsid w:val="009F0027"/>
    <w:rsid w:val="00A27C37"/>
    <w:rsid w:val="00A644C6"/>
    <w:rsid w:val="00A76B90"/>
    <w:rsid w:val="00AE2A12"/>
    <w:rsid w:val="00AE57B1"/>
    <w:rsid w:val="00AF6736"/>
    <w:rsid w:val="00B02546"/>
    <w:rsid w:val="00B17AB5"/>
    <w:rsid w:val="00B32710"/>
    <w:rsid w:val="00B915AE"/>
    <w:rsid w:val="00BB0BA1"/>
    <w:rsid w:val="00BB32EA"/>
    <w:rsid w:val="00BC39FB"/>
    <w:rsid w:val="00C20256"/>
    <w:rsid w:val="00C735CE"/>
    <w:rsid w:val="00CD4577"/>
    <w:rsid w:val="00D51F82"/>
    <w:rsid w:val="00DC6A1D"/>
    <w:rsid w:val="00DF744E"/>
    <w:rsid w:val="00E05672"/>
    <w:rsid w:val="00E07490"/>
    <w:rsid w:val="00E209CC"/>
    <w:rsid w:val="00E211C3"/>
    <w:rsid w:val="00E5273B"/>
    <w:rsid w:val="00E81A4B"/>
    <w:rsid w:val="00EB0B60"/>
    <w:rsid w:val="00EC7877"/>
    <w:rsid w:val="00ED054E"/>
    <w:rsid w:val="00EF68D5"/>
    <w:rsid w:val="00F46FFF"/>
    <w:rsid w:val="00F9224F"/>
    <w:rsid w:val="00FB4632"/>
    <w:rsid w:val="00FD12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5ED8"/>
  <w15:chartTrackingRefBased/>
  <w15:docId w15:val="{A518BFBD-7D3E-431C-BBAE-6E4CC468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37D"/>
    <w:pPr>
      <w:bidi/>
      <w:spacing w:before="240"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23F"/>
    <w:pPr>
      <w:tabs>
        <w:tab w:val="center" w:pos="4513"/>
        <w:tab w:val="right" w:pos="9026"/>
      </w:tabs>
      <w:spacing w:line="240" w:lineRule="auto"/>
    </w:pPr>
  </w:style>
  <w:style w:type="character" w:customStyle="1" w:styleId="a4">
    <w:name w:val="כותרת עליונה תו"/>
    <w:basedOn w:val="a0"/>
    <w:link w:val="a3"/>
    <w:uiPriority w:val="99"/>
    <w:rsid w:val="0023223F"/>
  </w:style>
  <w:style w:type="paragraph" w:styleId="a5">
    <w:name w:val="footer"/>
    <w:basedOn w:val="a"/>
    <w:link w:val="a6"/>
    <w:uiPriority w:val="99"/>
    <w:unhideWhenUsed/>
    <w:rsid w:val="0023223F"/>
    <w:pPr>
      <w:tabs>
        <w:tab w:val="center" w:pos="4513"/>
        <w:tab w:val="right" w:pos="9026"/>
      </w:tabs>
      <w:spacing w:line="240" w:lineRule="auto"/>
    </w:pPr>
  </w:style>
  <w:style w:type="character" w:customStyle="1" w:styleId="a6">
    <w:name w:val="כותרת תחתונה תו"/>
    <w:basedOn w:val="a0"/>
    <w:link w:val="a5"/>
    <w:uiPriority w:val="99"/>
    <w:rsid w:val="0023223F"/>
  </w:style>
  <w:style w:type="table" w:styleId="a7">
    <w:name w:val="Table Grid"/>
    <w:basedOn w:val="a1"/>
    <w:rsid w:val="0058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037A"/>
    <w:pPr>
      <w:ind w:left="720"/>
      <w:contextualSpacing/>
    </w:pPr>
  </w:style>
  <w:style w:type="character" w:styleId="Hyperlink">
    <w:name w:val="Hyperlink"/>
    <w:basedOn w:val="a0"/>
    <w:uiPriority w:val="99"/>
    <w:unhideWhenUsed/>
    <w:rsid w:val="00E81A4B"/>
    <w:rPr>
      <w:color w:val="0563C1" w:themeColor="hyperlink"/>
      <w:u w:val="single"/>
    </w:rPr>
  </w:style>
  <w:style w:type="character" w:styleId="a9">
    <w:name w:val="Unresolved Mention"/>
    <w:basedOn w:val="a0"/>
    <w:uiPriority w:val="99"/>
    <w:semiHidden/>
    <w:unhideWhenUsed/>
    <w:rsid w:val="00E81A4B"/>
    <w:rPr>
      <w:color w:val="605E5C"/>
      <w:shd w:val="clear" w:color="auto" w:fill="E1DFDD"/>
    </w:rPr>
  </w:style>
  <w:style w:type="paragraph" w:styleId="aa">
    <w:name w:val="Balloon Text"/>
    <w:basedOn w:val="a"/>
    <w:link w:val="ab"/>
    <w:uiPriority w:val="99"/>
    <w:semiHidden/>
    <w:unhideWhenUsed/>
    <w:rsid w:val="00843C12"/>
    <w:pPr>
      <w:spacing w:before="0" w:line="240" w:lineRule="auto"/>
    </w:pPr>
    <w:rPr>
      <w:rFonts w:ascii="Tahoma" w:hAnsi="Tahoma" w:cs="Tahoma"/>
      <w:sz w:val="18"/>
      <w:szCs w:val="18"/>
    </w:rPr>
  </w:style>
  <w:style w:type="character" w:customStyle="1" w:styleId="ab">
    <w:name w:val="טקסט בלונים תו"/>
    <w:basedOn w:val="a0"/>
    <w:link w:val="aa"/>
    <w:uiPriority w:val="99"/>
    <w:semiHidden/>
    <w:rsid w:val="00843C12"/>
    <w:rPr>
      <w:rFonts w:ascii="Tahoma" w:eastAsia="Times New Roman" w:hAnsi="Tahoma" w:cs="Tahoma"/>
      <w:sz w:val="18"/>
      <w:szCs w:val="18"/>
    </w:rPr>
  </w:style>
  <w:style w:type="paragraph" w:styleId="ac">
    <w:name w:val="Revision"/>
    <w:hidden/>
    <w:uiPriority w:val="99"/>
    <w:semiHidden/>
    <w:rsid w:val="000336D0"/>
    <w:pPr>
      <w:spacing w:after="0" w:line="240" w:lineRule="auto"/>
    </w:pPr>
    <w:rPr>
      <w:rFonts w:ascii="Times New Roman" w:eastAsia="Times New Roman" w:hAnsi="Times New Roman" w:cs="David"/>
      <w:sz w:val="24"/>
      <w:szCs w:val="24"/>
    </w:rPr>
  </w:style>
  <w:style w:type="character" w:styleId="FollowedHyperlink">
    <w:name w:val="FollowedHyperlink"/>
    <w:basedOn w:val="a0"/>
    <w:uiPriority w:val="99"/>
    <w:semiHidden/>
    <w:unhideWhenUsed/>
    <w:rsid w:val="00033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balnetgemel.co.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1FF32ECE6C91AD489AC972F072685500" ma:contentTypeVersion="10" ma:contentTypeDescription="צור מסמך חדש." ma:contentTypeScope="" ma:versionID="7cdf846652a067b0f3a1bccfebbab5bd">
  <xsd:schema xmlns:xsd="http://www.w3.org/2001/XMLSchema" xmlns:xs="http://www.w3.org/2001/XMLSchema" xmlns:p="http://schemas.microsoft.com/office/2006/metadata/properties" xmlns:ns2="dce20b20-e865-43fa-a504-b729b6ad617b" xmlns:ns3="1a09e6dd-bfe0-4262-8374-aa33a0f6cdb3" targetNamespace="http://schemas.microsoft.com/office/2006/metadata/properties" ma:root="true" ma:fieldsID="0819b5b5cb46400ec79b1e98f4c45c03" ns2:_="" ns3:_="">
    <xsd:import namespace="dce20b20-e865-43fa-a504-b729b6ad617b"/>
    <xsd:import namespace="1a09e6dd-bfe0-4262-8374-aa33a0f6c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20b20-e865-43fa-a504-b729b6ad6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תגיות תמונה" ma:readOnly="false" ma:fieldId="{5cf76f15-5ced-4ddc-b409-7134ff3c332f}" ma:taxonomyMulti="true" ma:sspId="9508347d-edd2-4ccd-a3b9-86d272e6a5f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9e6dd-bfe0-4262-8374-aa33a0f6cd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b9777e-8bd5-4b62-84a0-b3f0e209bad7}" ma:internalName="TaxCatchAll" ma:showField="CatchAllData" ma:web="1a09e6dd-bfe0-4262-8374-aa33a0f6c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09e6dd-bfe0-4262-8374-aa33a0f6cdb3" xsi:nil="true"/>
    <lcf76f155ced4ddcb4097134ff3c332f xmlns="dce20b20-e865-43fa-a504-b729b6ad6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542E67-896F-49D0-B3C8-507B3127627C}">
  <ds:schemaRefs>
    <ds:schemaRef ds:uri="http://schemas.openxmlformats.org/officeDocument/2006/bibliography"/>
  </ds:schemaRefs>
</ds:datastoreItem>
</file>

<file path=customXml/itemProps2.xml><?xml version="1.0" encoding="utf-8"?>
<ds:datastoreItem xmlns:ds="http://schemas.openxmlformats.org/officeDocument/2006/customXml" ds:itemID="{06AF0FB1-79D8-4179-852B-516F8D19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20b20-e865-43fa-a504-b729b6ad617b"/>
    <ds:schemaRef ds:uri="1a09e6dd-bfe0-4262-8374-aa33a0f6c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91104-30BA-4FD0-B7EB-7E691A5CBBFC}">
  <ds:schemaRefs>
    <ds:schemaRef ds:uri="http://schemas.microsoft.com/sharepoint/v3/contenttype/forms"/>
  </ds:schemaRefs>
</ds:datastoreItem>
</file>

<file path=customXml/itemProps4.xml><?xml version="1.0" encoding="utf-8"?>
<ds:datastoreItem xmlns:ds="http://schemas.openxmlformats.org/officeDocument/2006/customXml" ds:itemID="{0F9F590B-09F8-42AB-82EB-08C6C718B850}">
  <ds:schemaRefs>
    <ds:schemaRef ds:uri="http://schemas.microsoft.com/office/2006/metadata/properties"/>
    <ds:schemaRef ds:uri="http://schemas.microsoft.com/office/infopath/2007/PartnerControls"/>
    <ds:schemaRef ds:uri="1a09e6dd-bfe0-4262-8374-aa33a0f6cdb3"/>
    <ds:schemaRef ds:uri="dce20b20-e865-43fa-a504-b729b6ad617b"/>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389</Words>
  <Characters>1949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Eliezer</dc:creator>
  <cp:keywords/>
  <dc:description/>
  <cp:lastModifiedBy>Ziv Iserlish</cp:lastModifiedBy>
  <cp:revision>19</cp:revision>
  <cp:lastPrinted>2022-05-10T13:16:00Z</cp:lastPrinted>
  <dcterms:created xsi:type="dcterms:W3CDTF">2022-05-01T08:16:00Z</dcterms:created>
  <dcterms:modified xsi:type="dcterms:W3CDTF">2022-06-20T16:23:00Z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0x0101001FF32ECE6C91AD489AC972F072685500</vt:lpwstr>
  </property>
  <property fmtid="{D5CDD505-2E9C-101B-9397-08002B2CF9AE}" pid="3" name="MediaServiceImageTags">
    <vt:lpwstr/>
  </property>
</Properties>
</file>